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bookmarkStart w:id="0" w:name="_GoBack"/>
      <w:r>
        <w:rPr>
          <w:rFonts w:cs="Vahid" w:hint="cs"/>
          <w:noProof/>
          <w:color w:val="C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2225F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دي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2225F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دي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225F2">
        <w:rPr>
          <w:rFonts w:cs="Vahid" w:hint="cs"/>
          <w:color w:val="C00000"/>
          <w:sz w:val="36"/>
          <w:szCs w:val="36"/>
          <w:rtl/>
        </w:rPr>
        <w:t>سرفصل‌هاي بحث معرفي جدول تعريف</w:t>
      </w:r>
      <w:bookmarkEnd w:id="0"/>
    </w:p>
    <w:p w:rsidR="002225F2" w:rsidRDefault="002225F2" w:rsidP="002225F2">
      <w:pPr>
        <w:pStyle w:val="Heading1"/>
        <w:rPr>
          <w:rtl/>
        </w:rPr>
        <w:sectPr w:rsidR="002225F2" w:rsidSect="00024D73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:rsidR="002225F2" w:rsidRDefault="002225F2" w:rsidP="002225F2">
      <w:pPr>
        <w:pStyle w:val="Heading1"/>
        <w:rPr>
          <w:rFonts w:hint="cs"/>
          <w:rtl/>
        </w:rPr>
      </w:pPr>
      <w:r>
        <w:rPr>
          <w:rFonts w:hint="cs"/>
          <w:rtl/>
        </w:rPr>
        <w:t>مقدمه1: تناسب منطق با مبناي فلسفه</w:t>
      </w:r>
    </w:p>
    <w:p w:rsidR="002225F2" w:rsidRDefault="002225F2" w:rsidP="002225F2">
      <w:pPr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>فلسفه علم هستي‌شناسي؛ چيستي واقعيت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منطق يا معرفت‌شناسي؛ توصيف ارتباط ادراكي انسان با ساير واقعيت‌ها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مقدمه</w:t>
      </w:r>
      <w:r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علم</w:t>
      </w:r>
      <w:r>
        <w:rPr>
          <w:rtl/>
        </w:rPr>
        <w:t xml:space="preserve">: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الشيء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جنس</w:t>
      </w:r>
      <w:r>
        <w:rPr>
          <w:rtl/>
        </w:rPr>
        <w:t xml:space="preserve">: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فصل</w:t>
      </w:r>
      <w:r>
        <w:rPr>
          <w:rtl/>
        </w:rPr>
        <w:t xml:space="preserve">: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مقدمه</w:t>
      </w:r>
      <w:r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لمجرّد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مقدمه</w:t>
      </w:r>
      <w:r>
        <w:rPr>
          <w:rFonts w:hint="cs"/>
          <w:rtl/>
        </w:rPr>
        <w:t>4</w:t>
      </w:r>
      <w:r>
        <w:rPr>
          <w:rtl/>
        </w:rPr>
        <w:t xml:space="preserve">: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دقّت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(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>)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شيريني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وصفي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كمّي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بنيادين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كارآيي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عامليت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تصرّفي</w:t>
      </w:r>
      <w:r>
        <w:rPr>
          <w:rtl/>
        </w:rPr>
        <w:t xml:space="preserve"> </w:t>
      </w:r>
      <w:r>
        <w:rPr>
          <w:rFonts w:hint="cs"/>
          <w:rtl/>
        </w:rPr>
        <w:t>تبعي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>...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نعلي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يو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كارآيي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دسته‌بندي‌هاي</w:t>
      </w:r>
      <w:r>
        <w:rPr>
          <w:rtl/>
        </w:rPr>
        <w:t xml:space="preserve"> </w:t>
      </w:r>
      <w:r>
        <w:rPr>
          <w:rFonts w:hint="cs"/>
          <w:rtl/>
        </w:rPr>
        <w:t>سه‌تايي</w:t>
      </w:r>
      <w:r>
        <w:rPr>
          <w:rtl/>
        </w:rPr>
        <w:t xml:space="preserve"> </w:t>
      </w:r>
      <w:r>
        <w:rPr>
          <w:rFonts w:hint="cs"/>
          <w:rtl/>
        </w:rPr>
        <w:t>ستون‌ها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ستون‌ها؛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شاخص‌ها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نوار</w:t>
      </w:r>
      <w:r>
        <w:rPr>
          <w:rtl/>
        </w:rPr>
        <w:t xml:space="preserve"> </w:t>
      </w:r>
      <w:r>
        <w:rPr>
          <w:rFonts w:hint="cs"/>
          <w:rtl/>
        </w:rPr>
        <w:t>بالا؛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!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</w:p>
    <w:p w:rsidR="002225F2" w:rsidRDefault="002225F2" w:rsidP="002225F2">
      <w:pPr>
        <w:rPr>
          <w:rtl/>
        </w:rPr>
      </w:pPr>
      <w:r>
        <w:rPr>
          <w:rtl/>
        </w:rPr>
        <w:tab/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3 </w:t>
      </w:r>
      <w:r>
        <w:rPr>
          <w:rFonts w:hint="cs"/>
          <w:rtl/>
        </w:rPr>
        <w:t>در</w:t>
      </w:r>
      <w:r>
        <w:rPr>
          <w:rtl/>
        </w:rPr>
        <w:t xml:space="preserve"> 3 </w:t>
      </w:r>
      <w:r>
        <w:rPr>
          <w:rFonts w:hint="cs"/>
          <w:rtl/>
        </w:rPr>
        <w:t>يعني</w:t>
      </w:r>
      <w:r>
        <w:rPr>
          <w:rtl/>
        </w:rPr>
        <w:t xml:space="preserve"> 27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</w:p>
    <w:p w:rsidR="002225F2" w:rsidRDefault="002225F2" w:rsidP="002225F2">
      <w:pPr>
        <w:pStyle w:val="Heading1"/>
        <w:rPr>
          <w:rtl/>
        </w:rPr>
      </w:pP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جداول</w:t>
      </w:r>
      <w:r>
        <w:rPr>
          <w:rtl/>
        </w:rPr>
        <w:t xml:space="preserve"> </w:t>
      </w:r>
      <w:r>
        <w:rPr>
          <w:rFonts w:hint="cs"/>
          <w:rtl/>
        </w:rPr>
        <w:t>كمكي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جداول</w:t>
      </w:r>
      <w:r>
        <w:rPr>
          <w:rtl/>
        </w:rPr>
        <w:t xml:space="preserve">: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قطرگيري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جداول</w:t>
      </w:r>
      <w:r>
        <w:rPr>
          <w:rtl/>
        </w:rPr>
        <w:t xml:space="preserve"> 27</w:t>
      </w:r>
      <w:r>
        <w:rPr>
          <w:rFonts w:hint="cs"/>
          <w:rtl/>
        </w:rPr>
        <w:t>گانه؛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</w:p>
    <w:p w:rsidR="002225F2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جداول</w:t>
      </w:r>
      <w:r>
        <w:rPr>
          <w:rtl/>
        </w:rPr>
        <w:t xml:space="preserve"> 9</w:t>
      </w:r>
      <w:r>
        <w:rPr>
          <w:rFonts w:hint="cs"/>
          <w:rtl/>
        </w:rPr>
        <w:t>گانه؛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وصفي</w:t>
      </w:r>
    </w:p>
    <w:p w:rsidR="001843B4" w:rsidRDefault="002225F2" w:rsidP="002225F2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</w:p>
    <w:p w:rsidR="002225F2" w:rsidRDefault="002225F2" w:rsidP="001843B4">
      <w:pPr>
        <w:rPr>
          <w:rtl/>
        </w:rPr>
        <w:sectPr w:rsidR="002225F2" w:rsidSect="002225F2">
          <w:type w:val="continuous"/>
          <w:pgSz w:w="11906" w:h="16838" w:code="9"/>
          <w:pgMar w:top="851" w:right="851" w:bottom="851" w:left="851" w:header="709" w:footer="709" w:gutter="284"/>
          <w:cols w:num="2" w:sep="1" w:space="397"/>
          <w:titlePg/>
          <w:bidi/>
          <w:rtlGutter/>
          <w:docGrid w:linePitch="360"/>
        </w:sectPr>
      </w:pPr>
    </w:p>
    <w:p w:rsidR="001843B4" w:rsidRDefault="001843B4" w:rsidP="001843B4">
      <w:pPr>
        <w:rPr>
          <w:rtl/>
        </w:rPr>
      </w:pPr>
    </w:p>
    <w:sectPr w:rsidR="001843B4" w:rsidSect="002225F2"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7F" w:rsidRDefault="0025247F" w:rsidP="00024D73">
      <w:pPr>
        <w:spacing w:after="0" w:line="240" w:lineRule="auto"/>
      </w:pPr>
      <w:r>
        <w:separator/>
      </w:r>
    </w:p>
  </w:endnote>
  <w:endnote w:type="continuationSeparator" w:id="0">
    <w:p w:rsidR="0025247F" w:rsidRDefault="0025247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225F2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225F2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7F" w:rsidRDefault="0025247F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5247F" w:rsidRDefault="0025247F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  <w:lang w:bidi="ar-SA"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F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25F2"/>
    <w:rsid w:val="0022589C"/>
    <w:rsid w:val="00226657"/>
    <w:rsid w:val="00234B7D"/>
    <w:rsid w:val="00243A4E"/>
    <w:rsid w:val="0025247F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9EED"/>
  <w15:docId w15:val="{2F47E10C-E9D2-4702-B5FE-8924AA31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F2"/>
    <w:pPr>
      <w:widowControl w:val="0"/>
      <w:bidi/>
      <w:spacing w:after="240" w:line="192" w:lineRule="auto"/>
      <w:ind w:firstLine="397"/>
      <w:contextualSpacing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0682-C4A0-40B7-86BD-AA70725D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1</cp:revision>
  <cp:lastPrinted>2013-01-03T19:35:00Z</cp:lastPrinted>
  <dcterms:created xsi:type="dcterms:W3CDTF">2019-01-15T04:09:00Z</dcterms:created>
  <dcterms:modified xsi:type="dcterms:W3CDTF">2019-01-15T04:15:00Z</dcterms:modified>
</cp:coreProperties>
</file>