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C582" w14:textId="77777777" w:rsidR="004522E2" w:rsidRDefault="00C54046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r w:rsidRPr="00C54046">
        <w:rPr>
          <w:rFonts w:cs="Vahid" w:hint="cs"/>
          <w:color w:val="C00000"/>
          <w:sz w:val="36"/>
          <w:szCs w:val="36"/>
          <w:rtl/>
        </w:rPr>
        <w:t>طرح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برگزار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نما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C54046">
        <w:rPr>
          <w:rFonts w:cs="Vahid" w:hint="cs"/>
          <w:color w:val="C00000"/>
          <w:sz w:val="36"/>
          <w:szCs w:val="36"/>
          <w:rtl/>
        </w:rPr>
        <w:t>شگاه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توانمند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="00460352">
        <w:rPr>
          <w:rFonts w:cs="Vahid" w:hint="cs"/>
          <w:color w:val="C00000"/>
          <w:sz w:val="36"/>
          <w:szCs w:val="36"/>
        </w:rPr>
        <w:t>‌</w:t>
      </w:r>
      <w:r w:rsidRPr="00C54046">
        <w:rPr>
          <w:rFonts w:cs="Vahid" w:hint="cs"/>
          <w:color w:val="C00000"/>
          <w:sz w:val="36"/>
          <w:szCs w:val="36"/>
          <w:rtl/>
        </w:rPr>
        <w:t>ها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حوزو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در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عرصه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هوش</w:t>
      </w:r>
      <w:r w:rsidRPr="00C54046">
        <w:rPr>
          <w:rFonts w:cs="Vahid"/>
          <w:color w:val="C00000"/>
          <w:sz w:val="36"/>
          <w:szCs w:val="36"/>
          <w:rtl/>
        </w:rPr>
        <w:t xml:space="preserve"> </w:t>
      </w:r>
      <w:r w:rsidRPr="00C54046">
        <w:rPr>
          <w:rFonts w:cs="Vahid" w:hint="cs"/>
          <w:color w:val="C00000"/>
          <w:sz w:val="36"/>
          <w:szCs w:val="36"/>
          <w:rtl/>
        </w:rPr>
        <w:t>مصنوع</w:t>
      </w:r>
      <w:r>
        <w:rPr>
          <w:rFonts w:cs="Vahid" w:hint="cs"/>
          <w:color w:val="C00000"/>
          <w:sz w:val="36"/>
          <w:szCs w:val="36"/>
          <w:rtl/>
        </w:rPr>
        <w:t>ي</w:t>
      </w:r>
    </w:p>
    <w:bookmarkEnd w:id="0"/>
    <w:p w14:paraId="4EFBC219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محورها</w:t>
      </w:r>
    </w:p>
    <w:p w14:paraId="2B5229ED" w14:textId="77777777" w:rsidR="000B672D" w:rsidRDefault="000B672D" w:rsidP="00460352">
      <w:pPr>
        <w:rPr>
          <w:rtl/>
        </w:rPr>
      </w:pPr>
      <w:r>
        <w:rPr>
          <w:rFonts w:hint="cs"/>
          <w:rtl/>
        </w:rPr>
        <w:t>آثاري كه مراكز حوزوي مي‌توانند در نمايشگاه ارائه نمايند مشتمل بر موارد ذيل است:</w:t>
      </w:r>
    </w:p>
    <w:p w14:paraId="0A1F31B5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 w:rsidR="00EB4AC1">
        <w:rPr>
          <w:rFonts w:hint="cs"/>
          <w:rtl/>
        </w:rPr>
        <w:t>: سخت‌افزار، نرم‌افزار و اَپ‌هايي كه با هوش مصنوعي كار مي‌كنند.</w:t>
      </w:r>
    </w:p>
    <w:p w14:paraId="69C2A09A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سرفصل</w:t>
      </w:r>
      <w:r w:rsidR="000B672D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 w:rsidR="00EB4AC1">
        <w:rPr>
          <w:rFonts w:hint="cs"/>
          <w:rtl/>
        </w:rPr>
        <w:t>: عناوين و سرفصل‌هايي كه براي آموزش در دوره‌هاي عمومي يا تخصّصي طراحي شده.</w:t>
      </w:r>
    </w:p>
    <w:p w14:paraId="6A982875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ترويجي</w:t>
      </w:r>
      <w:r w:rsidR="00EB4AC1">
        <w:rPr>
          <w:rFonts w:hint="cs"/>
          <w:rtl/>
        </w:rPr>
        <w:t>: سخنراني، نشست و فعاليت‌هاي تبليغي و ترويجي در عرصه هوش مصنوعي.</w:t>
      </w:r>
    </w:p>
    <w:p w14:paraId="6A54FBA6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 w:rsidR="00EB4AC1">
        <w:rPr>
          <w:rFonts w:hint="cs"/>
          <w:rtl/>
        </w:rPr>
        <w:t xml:space="preserve">: كتاب، مقاله، جزوه آموزشي، پايان‌نامه، گزارش پژوهش، پايگاه داده و هستان‌نگارهايي كه مرتبط با هوش مصنوعي باشد و يا گزارش تشكيل و برگزاري درس‌هاي تخصّصي مرتبط با هوش مصنوعي و يا علوم تأثيرگذار در آن، مانند: </w:t>
      </w:r>
      <w:r w:rsidR="00601DB9">
        <w:rPr>
          <w:rFonts w:hint="cs"/>
          <w:rtl/>
        </w:rPr>
        <w:t xml:space="preserve">درس خارج فقه هوش مصنوعي، اخلاق هوش مصنوعي و يا </w:t>
      </w:r>
      <w:r w:rsidR="00EB4AC1">
        <w:rPr>
          <w:rFonts w:hint="cs"/>
          <w:rtl/>
        </w:rPr>
        <w:t>علوم شناختي.</w:t>
      </w:r>
    </w:p>
    <w:p w14:paraId="594705C4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نهادسازي</w:t>
      </w:r>
      <w:r w:rsidR="000B672D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 w:rsidR="00EB4AC1">
        <w:rPr>
          <w:rFonts w:hint="cs"/>
          <w:rtl/>
        </w:rPr>
        <w:t>: نگارش طرح يا تأسيس مراكز و نهادهاي پژوهشي، آموزشي، ترويجي و تخصّصي در موضوع هوش مصنوعي.</w:t>
      </w:r>
    </w:p>
    <w:p w14:paraId="14B510B7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EB4AC1">
        <w:rPr>
          <w:rFonts w:hint="cs"/>
          <w:rtl/>
        </w:rPr>
        <w:t>: طراحي، نگارش يا تدوين برنامه‌هاي گسترش و پيشرفت هوش مصنوعي در قالب نقشه راه.</w:t>
      </w:r>
    </w:p>
    <w:p w14:paraId="014EEE29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سياستي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0B672D">
        <w:rPr>
          <w:rFonts w:hint="cs"/>
          <w:rtl/>
        </w:rPr>
        <w:t>‌</w:t>
      </w:r>
      <w:r>
        <w:rPr>
          <w:rFonts w:hint="cs"/>
          <w:rtl/>
        </w:rPr>
        <w:t>باني</w:t>
      </w:r>
      <w:r w:rsidR="00EB4AC1">
        <w:rPr>
          <w:rFonts w:hint="cs"/>
          <w:rtl/>
        </w:rPr>
        <w:t>: تدوين، نقد و يا اصلاح سند ملّي يا بخشي هوش مصنوعي.</w:t>
      </w:r>
    </w:p>
    <w:p w14:paraId="4C135EC7" w14:textId="77777777" w:rsidR="00460352" w:rsidRDefault="00460352" w:rsidP="000B672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تطور</w:t>
      </w:r>
      <w:r>
        <w:rPr>
          <w:rtl/>
        </w:rPr>
        <w:t xml:space="preserve"> </w:t>
      </w:r>
      <w:r>
        <w:rPr>
          <w:rFonts w:hint="cs"/>
          <w:rtl/>
        </w:rPr>
        <w:t>رويكردي</w:t>
      </w:r>
      <w:r w:rsidR="00EB4AC1">
        <w:rPr>
          <w:rFonts w:hint="cs"/>
          <w:rtl/>
        </w:rPr>
        <w:t xml:space="preserve">: </w:t>
      </w:r>
      <w:r w:rsidR="004F69F1">
        <w:rPr>
          <w:rFonts w:hint="cs"/>
          <w:rtl/>
        </w:rPr>
        <w:t>گزارش‌هاي پژوهشي و نظريه‌پردازي در مفاهيم بنيادين و زيربنايي هوش مصنوعي، مانند: فلسفه هوش، اختيار، نفس، روح</w:t>
      </w:r>
      <w:r w:rsidR="00117329">
        <w:rPr>
          <w:rFonts w:hint="cs"/>
          <w:rtl/>
        </w:rPr>
        <w:t xml:space="preserve">، جهت‌داري علوم </w:t>
      </w:r>
      <w:r w:rsidR="004F69F1">
        <w:rPr>
          <w:rFonts w:hint="cs"/>
          <w:rtl/>
        </w:rPr>
        <w:t>و ارتباط آن</w:t>
      </w:r>
      <w:r w:rsidR="00117329">
        <w:rPr>
          <w:rFonts w:hint="cs"/>
          <w:rtl/>
        </w:rPr>
        <w:t>‌ها</w:t>
      </w:r>
      <w:r w:rsidR="004F69F1">
        <w:rPr>
          <w:rFonts w:hint="cs"/>
          <w:rtl/>
        </w:rPr>
        <w:t xml:space="preserve"> با هوش مصنوعي. </w:t>
      </w:r>
    </w:p>
    <w:p w14:paraId="1E27E7DD" w14:textId="77777777" w:rsidR="0090411B" w:rsidRPr="0090411B" w:rsidRDefault="00460352" w:rsidP="0090411B">
      <w:pPr>
        <w:pStyle w:val="Heading1"/>
        <w:rPr>
          <w:rtl/>
        </w:rPr>
      </w:pPr>
      <w:r>
        <w:rPr>
          <w:rFonts w:hint="cs"/>
          <w:rtl/>
        </w:rPr>
        <w:t>اهداف</w:t>
      </w:r>
    </w:p>
    <w:p w14:paraId="7BF6D9FB" w14:textId="77777777" w:rsidR="0090411B" w:rsidRDefault="0090411B" w:rsidP="00460352">
      <w:pPr>
        <w:rPr>
          <w:rtl/>
        </w:rPr>
      </w:pPr>
      <w:r>
        <w:rPr>
          <w:rFonts w:hint="cs"/>
          <w:rtl/>
        </w:rPr>
        <w:t>برگزاري اين نمايشگاه مي‌تواند زمينه‌ساز دستيابي به اهداف ذيل در مسئله هوش مصنوعي گردد:</w:t>
      </w:r>
    </w:p>
    <w:p w14:paraId="48156413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 w:rsidR="000B672D">
        <w:rPr>
          <w:rFonts w:hint="cs"/>
          <w:rtl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 w:rsidR="000B672D">
        <w:rPr>
          <w:rFonts w:hint="cs"/>
          <w:rtl/>
        </w:rPr>
        <w:t>‌</w:t>
      </w:r>
      <w:r>
        <w:rPr>
          <w:rFonts w:hint="cs"/>
          <w:rtl/>
        </w:rPr>
        <w:t>ها</w:t>
      </w:r>
      <w:r w:rsidR="00297248">
        <w:rPr>
          <w:rFonts w:hint="cs"/>
          <w:rtl/>
        </w:rPr>
        <w:t>ي مراكز حوزوي در عرصه هوش 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B672D">
        <w:rPr>
          <w:rFonts w:hint="cs"/>
          <w:rtl/>
        </w:rPr>
        <w:t xml:space="preserve"> ايجاد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</w:p>
    <w:p w14:paraId="77AD0A56" w14:textId="77777777" w:rsidR="00460352" w:rsidRDefault="00297248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هم‌افزايي ظرفيت‌ها</w:t>
      </w:r>
      <w:r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="00460352">
        <w:rPr>
          <w:rFonts w:hint="cs"/>
          <w:rtl/>
        </w:rPr>
        <w:t>تبادل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تجارب</w:t>
      </w:r>
    </w:p>
    <w:p w14:paraId="4472727D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اطلس</w:t>
      </w:r>
      <w:r w:rsidR="0086419E">
        <w:rPr>
          <w:rFonts w:hint="cs"/>
          <w:rtl/>
        </w:rPr>
        <w:t xml:space="preserve"> و نقشه علمي مراكز و نهادهاي حوزوي در موضوع هوش مصنوعي</w:t>
      </w:r>
    </w:p>
    <w:p w14:paraId="759EF8F4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زمينه</w:t>
      </w:r>
      <w:r w:rsidR="0086419E">
        <w:rPr>
          <w:rFonts w:hint="cs"/>
          <w:rtl/>
        </w:rPr>
        <w:t>‌سازي براي دريافت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 w:rsidR="0086419E">
        <w:rPr>
          <w:rFonts w:hint="cs"/>
          <w:rtl/>
        </w:rPr>
        <w:t xml:space="preserve"> و</w:t>
      </w:r>
      <w:r>
        <w:rPr>
          <w:rtl/>
        </w:rPr>
        <w:t xml:space="preserve"> </w:t>
      </w:r>
      <w:r w:rsidR="0086419E">
        <w:rPr>
          <w:rFonts w:hint="cs"/>
          <w:rtl/>
        </w:rPr>
        <w:t>عينيّت‌</w:t>
      </w:r>
      <w:r>
        <w:rPr>
          <w:rFonts w:hint="cs"/>
          <w:rtl/>
        </w:rPr>
        <w:t>بخشي</w:t>
      </w:r>
      <w:r w:rsidR="0086419E">
        <w:rPr>
          <w:rFonts w:hint="cs"/>
          <w:rtl/>
        </w:rPr>
        <w:t xml:space="preserve"> آن</w:t>
      </w:r>
    </w:p>
    <w:p w14:paraId="6EC196C8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 w:rsidR="0086419E">
        <w:rPr>
          <w:rFonts w:hint="cs"/>
          <w:rtl/>
        </w:rPr>
        <w:t>‌هاي فعّال، مانند: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86419E">
        <w:rPr>
          <w:rFonts w:hint="cs"/>
          <w:rtl/>
        </w:rPr>
        <w:t>‌</w:t>
      </w:r>
      <w:r>
        <w:rPr>
          <w:rFonts w:hint="cs"/>
          <w:rtl/>
        </w:rPr>
        <w:t>آموختگان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14:paraId="13C27776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۵۰۰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فناورانه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86419E">
        <w:rPr>
          <w:rFonts w:hint="cs"/>
          <w:rtl/>
        </w:rPr>
        <w:t xml:space="preserve"> كه اطلاعات آن توسط ستاد هوش مصنوعي جمع‌آوري و تدوين شده است</w:t>
      </w:r>
    </w:p>
    <w:p w14:paraId="266DA6A3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 w:rsidR="0086419E">
        <w:rPr>
          <w:rFonts w:hint="cs"/>
          <w:rtl/>
        </w:rPr>
        <w:t xml:space="preserve"> حوزه و روحانيت در عرصه هوش مصنوعي</w:t>
      </w:r>
    </w:p>
    <w:p w14:paraId="579E7A9A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مطالبات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انتظارت</w:t>
      </w:r>
      <w:r>
        <w:rPr>
          <w:rtl/>
        </w:rPr>
        <w:t xml:space="preserve"> </w:t>
      </w:r>
      <w:r w:rsidR="0086419E">
        <w:rPr>
          <w:rFonts w:hint="cs"/>
          <w:rtl/>
        </w:rPr>
        <w:t>از حوزه‌هاي علميه، مانند: تأسيس رشته‌هاي تخصّصي مرتبط</w:t>
      </w:r>
    </w:p>
    <w:p w14:paraId="75D25968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 w:rsidR="0086419E">
        <w:rPr>
          <w:rFonts w:hint="cs"/>
          <w:rtl/>
        </w:rPr>
        <w:t xml:space="preserve"> به موضوع هوش مصنوعي و قابليت‌هاي آن</w:t>
      </w:r>
    </w:p>
    <w:p w14:paraId="21BCE777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ارتقا</w:t>
      </w:r>
      <w:r w:rsidR="0086419E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 w:rsidR="0086419E">
        <w:rPr>
          <w:rFonts w:hint="cs"/>
          <w:rtl/>
        </w:rPr>
        <w:t xml:space="preserve"> 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حوزويان</w:t>
      </w:r>
      <w:r w:rsidR="0086419E">
        <w:rPr>
          <w:rFonts w:hint="cs"/>
          <w:rtl/>
        </w:rPr>
        <w:t xml:space="preserve"> و بازديدكنندگان نمايشگاه</w:t>
      </w:r>
    </w:p>
    <w:p w14:paraId="67087D4C" w14:textId="77777777" w:rsidR="00460352" w:rsidRDefault="0086419E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معرفي خبرگزاري تخصّصي ستاد هوش مصنوعي و تقويت ارتباط و تعامل آن با مراكز و نهادها</w:t>
      </w:r>
    </w:p>
    <w:p w14:paraId="4BBBA7DF" w14:textId="77777777" w:rsidR="00460352" w:rsidRDefault="00460352" w:rsidP="0090411B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رويكردها</w:t>
      </w:r>
      <w:r w:rsidR="0086419E">
        <w:rPr>
          <w:rFonts w:hint="cs"/>
          <w:rtl/>
        </w:rPr>
        <w:t>ي فعّال در عرصه هوش 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 w:rsidR="0086419E">
        <w:rPr>
          <w:rFonts w:hint="cs"/>
          <w:rtl/>
        </w:rPr>
        <w:t xml:space="preserve"> و همگرايي ميان‌ ‌آن‌ها</w:t>
      </w:r>
    </w:p>
    <w:p w14:paraId="7923F8FD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تهديدها</w:t>
      </w:r>
    </w:p>
    <w:p w14:paraId="74140016" w14:textId="77777777" w:rsidR="000C77A9" w:rsidRDefault="000C77A9" w:rsidP="000C77A9">
      <w:pPr>
        <w:pStyle w:val="ListParagraph"/>
        <w:numPr>
          <w:ilvl w:val="0"/>
          <w:numId w:val="41"/>
        </w:numPr>
        <w:ind w:left="850"/>
      </w:pPr>
      <w:r>
        <w:rPr>
          <w:rFonts w:hint="cs"/>
          <w:rtl/>
        </w:rPr>
        <w:t xml:space="preserve">تازه بودن موضوع هوش مصنوعي سبب مي‌شود تا فعاليت‌هاي تكراري و موازي در مراكز شكل بگيرد و عدم </w:t>
      </w:r>
      <w:r>
        <w:rPr>
          <w:rFonts w:hint="cs"/>
          <w:rtl/>
        </w:rPr>
        <w:lastRenderedPageBreak/>
        <w:t>اطلاع و آگاهي از آن‌چه در ساير مراكز به انجام رسيده و يا در حال انجام است، فرصت استفاده و بهره‌مندي از دستاوردها و تجارب را سلب كرده است.</w:t>
      </w:r>
    </w:p>
    <w:p w14:paraId="3E5447B3" w14:textId="77777777" w:rsidR="000C77A9" w:rsidRDefault="000C77A9" w:rsidP="000C77A9">
      <w:pPr>
        <w:pStyle w:val="ListParagraph"/>
        <w:numPr>
          <w:ilvl w:val="0"/>
          <w:numId w:val="41"/>
        </w:numPr>
        <w:ind w:left="850"/>
      </w:pPr>
      <w:r>
        <w:rPr>
          <w:rFonts w:hint="cs"/>
          <w:rtl/>
        </w:rPr>
        <w:t>نا آگاهي عمومي روحانيون و حوزويان درباره ماهيت هوش مصنوعي، موضع‌گيري‌ها درباره هوش مصنوعي را متشتّت و پراكنده نموده و هرج و مرج در پاسخگويي و همچنين پاسخ‌هاي نادرست را پديد مي‌آورد.</w:t>
      </w:r>
    </w:p>
    <w:p w14:paraId="424F73AC" w14:textId="77777777" w:rsidR="00460352" w:rsidRDefault="000C77A9" w:rsidP="000C77A9">
      <w:pPr>
        <w:pStyle w:val="ListParagraph"/>
        <w:numPr>
          <w:ilvl w:val="0"/>
          <w:numId w:val="41"/>
        </w:numPr>
        <w:ind w:left="850"/>
      </w:pPr>
      <w:r>
        <w:rPr>
          <w:rFonts w:hint="cs"/>
          <w:rtl/>
        </w:rPr>
        <w:t xml:space="preserve">بي‌اطلاعي مديران نسبت به حسّاسيت هوش مصنوعي علّت اصلي ناپايدار بودن فعاليت‌هاي مهم اين عرصه است. سامانه‌هاي مهمي كه در اين زمينه توليد شده مورد حمايت قرار نگرفته و به تدريج ضعيف مي‌شوند، مانند: سامانه </w:t>
      </w:r>
      <w:r w:rsidR="00460352">
        <w:rPr>
          <w:rFonts w:hint="cs"/>
          <w:rtl/>
        </w:rPr>
        <w:t>نجف</w:t>
      </w:r>
      <w:r>
        <w:rPr>
          <w:rFonts w:hint="cs"/>
          <w:rtl/>
        </w:rPr>
        <w:t>.</w:t>
      </w:r>
    </w:p>
    <w:p w14:paraId="7D15588F" w14:textId="77777777" w:rsidR="005263F0" w:rsidRDefault="005263F0" w:rsidP="000C77A9">
      <w:pPr>
        <w:pStyle w:val="ListParagraph"/>
        <w:numPr>
          <w:ilvl w:val="0"/>
          <w:numId w:val="41"/>
        </w:numPr>
        <w:ind w:left="850"/>
        <w:rPr>
          <w:rtl/>
        </w:rPr>
      </w:pPr>
      <w:r>
        <w:rPr>
          <w:rFonts w:hint="cs"/>
          <w:rtl/>
        </w:rPr>
        <w:t>هوش مصنوعي نيازمند مطالعات بنيادين فقهي و اخلاقي است و جامعه اسلامي، بلكه جامعه جهاني محتاج نظريه‌پردازي در اين عرصه است.</w:t>
      </w:r>
    </w:p>
    <w:p w14:paraId="36F3664D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نهادها</w:t>
      </w:r>
    </w:p>
    <w:p w14:paraId="32A877A8" w14:textId="77777777" w:rsidR="005F3511" w:rsidRDefault="005F3511" w:rsidP="005F3511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 xml:space="preserve">معاونت‌هاي </w:t>
      </w:r>
      <w:r w:rsidR="00460352">
        <w:rPr>
          <w:rFonts w:hint="cs"/>
          <w:rtl/>
        </w:rPr>
        <w:t>مركز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مديريت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حوزه</w:t>
      </w:r>
      <w:r>
        <w:rPr>
          <w:rFonts w:hint="cs"/>
          <w:rtl/>
        </w:rPr>
        <w:t>، مانند: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تبليغ،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ارتباطات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و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امور</w:t>
      </w:r>
      <w:r w:rsidR="00460352">
        <w:rPr>
          <w:rtl/>
        </w:rPr>
        <w:t xml:space="preserve"> </w:t>
      </w:r>
      <w:r>
        <w:rPr>
          <w:rFonts w:hint="cs"/>
          <w:rtl/>
        </w:rPr>
        <w:t>بين‌الملل</w:t>
      </w:r>
    </w:p>
    <w:p w14:paraId="04034027" w14:textId="77777777" w:rsidR="005F3511" w:rsidRDefault="005F3511" w:rsidP="005F3511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 xml:space="preserve">دفاتر و ادارات زير نظر مركز مديريت حوزه، مانند: </w:t>
      </w:r>
      <w:r w:rsidR="00460352">
        <w:rPr>
          <w:rFonts w:hint="cs"/>
          <w:rtl/>
        </w:rPr>
        <w:t>دفتر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فقه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معاصر،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اداره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آمار</w:t>
      </w:r>
      <w:r>
        <w:rPr>
          <w:rFonts w:hint="cs"/>
          <w:rtl/>
        </w:rPr>
        <w:t>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مركز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برنامه</w:t>
      </w:r>
      <w:r>
        <w:rPr>
          <w:rFonts w:hint="cs"/>
          <w:rtl/>
        </w:rPr>
        <w:t>‌</w:t>
      </w:r>
      <w:r w:rsidR="00460352">
        <w:rPr>
          <w:rFonts w:hint="cs"/>
          <w:rtl/>
        </w:rPr>
        <w:t>ريزي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و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نظارت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راهبردي</w:t>
      </w:r>
    </w:p>
    <w:p w14:paraId="0BC0BCA9" w14:textId="77777777" w:rsidR="00DD5FE7" w:rsidRDefault="005F3511" w:rsidP="00DD5FE7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 xml:space="preserve">مراكز حوزوي، مانند: </w:t>
      </w:r>
      <w:r w:rsidR="00460352">
        <w:rPr>
          <w:rFonts w:hint="cs"/>
          <w:rtl/>
        </w:rPr>
        <w:t>مركز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تبليغ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مجازي،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تربيت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معلم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مبل</w:t>
      </w:r>
      <w:r>
        <w:rPr>
          <w:rFonts w:hint="cs"/>
          <w:rtl/>
        </w:rPr>
        <w:t>ّ</w:t>
      </w:r>
      <w:r w:rsidR="00460352">
        <w:rPr>
          <w:rFonts w:hint="cs"/>
          <w:rtl/>
        </w:rPr>
        <w:t>غ،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فناوري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اطلاعات،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مطالعات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راهبردي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حوزه</w:t>
      </w:r>
    </w:p>
    <w:p w14:paraId="7C12647A" w14:textId="77777777" w:rsidR="00DD5FE7" w:rsidRDefault="00460352" w:rsidP="00577D4F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>مديريت</w:t>
      </w:r>
      <w:r w:rsidR="00DD5FE7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 w:rsidR="00DD5FE7">
        <w:rPr>
          <w:rFonts w:hint="cs"/>
          <w:rtl/>
        </w:rPr>
        <w:t xml:space="preserve"> حوزه‌هاي علميه</w:t>
      </w:r>
    </w:p>
    <w:p w14:paraId="68A5884A" w14:textId="77777777" w:rsidR="00DD5FE7" w:rsidRDefault="00460352" w:rsidP="00436638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 w:rsidR="00DD5FE7">
        <w:rPr>
          <w:rFonts w:hint="cs"/>
          <w:rtl/>
        </w:rPr>
        <w:t>، مانند: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DD5FE7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برادران،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DD5FE7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خواهران،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الزهرا،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المصطفي</w:t>
      </w:r>
      <w:r>
        <w:rPr>
          <w:rtl/>
        </w:rPr>
        <w:t xml:space="preserve"> </w:t>
      </w:r>
      <w:r>
        <w:rPr>
          <w:rFonts w:hint="cs"/>
          <w:rtl/>
        </w:rPr>
        <w:t>العالميه،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DD5FE7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علميه،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قم،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كامپيوتري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 w:rsidR="00DD5FE7">
        <w:rPr>
          <w:rFonts w:hint="cs"/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اصفهان</w:t>
      </w:r>
      <w:r w:rsidR="00DD5FE7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خراسان</w:t>
      </w:r>
    </w:p>
    <w:p w14:paraId="316A7558" w14:textId="77777777" w:rsidR="00DD5FE7" w:rsidRDefault="00DD5FE7" w:rsidP="00896632">
      <w:pPr>
        <w:pStyle w:val="ListParagraph"/>
        <w:numPr>
          <w:ilvl w:val="0"/>
          <w:numId w:val="42"/>
        </w:numPr>
        <w:ind w:left="850"/>
      </w:pPr>
      <w:r>
        <w:rPr>
          <w:rFonts w:hint="cs"/>
          <w:rtl/>
        </w:rPr>
        <w:t xml:space="preserve">نهادهاي مرتبط با حوزه، مانند: </w:t>
      </w:r>
      <w:r w:rsidR="00460352">
        <w:rPr>
          <w:rFonts w:hint="cs"/>
          <w:rtl/>
        </w:rPr>
        <w:t>شوراي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سياستگذاري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ائمه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جمعه</w:t>
      </w:r>
      <w:r>
        <w:rPr>
          <w:rFonts w:hint="cs"/>
          <w:rtl/>
        </w:rPr>
        <w:t xml:space="preserve"> و جماعات</w:t>
      </w:r>
      <w:r w:rsidR="00460352">
        <w:rPr>
          <w:rFonts w:hint="cs"/>
          <w:rtl/>
        </w:rPr>
        <w:t>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مجمع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جهاني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تقريب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مذاهب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اسلامي،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مجمع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جهاني</w:t>
      </w:r>
      <w:r w:rsidR="00460352">
        <w:rPr>
          <w:rtl/>
        </w:rPr>
        <w:t xml:space="preserve"> </w:t>
      </w:r>
      <w:r>
        <w:rPr>
          <w:rFonts w:hint="cs"/>
          <w:rtl/>
        </w:rPr>
        <w:t>اهل بيت (ع)</w:t>
      </w:r>
      <w:r w:rsidR="00460352">
        <w:rPr>
          <w:rFonts w:hint="cs"/>
          <w:rtl/>
        </w:rPr>
        <w:t>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سازمان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فرهنگ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و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ارتباطات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اسلامي</w:t>
      </w:r>
    </w:p>
    <w:p w14:paraId="5C24917A" w14:textId="77777777" w:rsidR="00460352" w:rsidRDefault="00DD5FE7" w:rsidP="00896632">
      <w:pPr>
        <w:pStyle w:val="ListParagraph"/>
        <w:numPr>
          <w:ilvl w:val="0"/>
          <w:numId w:val="42"/>
        </w:numPr>
        <w:ind w:left="850"/>
        <w:rPr>
          <w:rtl/>
        </w:rPr>
      </w:pPr>
      <w:r>
        <w:rPr>
          <w:rFonts w:hint="cs"/>
          <w:rtl/>
        </w:rPr>
        <w:t xml:space="preserve">سازمان‌ها، مراكز و شركت‌هاي فعّال داراي اثر علمي و فني در اين عرصه، مانند: </w:t>
      </w:r>
      <w:r w:rsidR="00460352">
        <w:rPr>
          <w:rFonts w:hint="cs"/>
          <w:rtl/>
        </w:rPr>
        <w:t>باقرالعلوم</w:t>
      </w:r>
      <w:r>
        <w:rPr>
          <w:rFonts w:hint="cs"/>
          <w:rtl/>
        </w:rPr>
        <w:t>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آزمايشگاه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سايبر</w:t>
      </w:r>
      <w:r>
        <w:rPr>
          <w:rFonts w:hint="cs"/>
          <w:rtl/>
        </w:rPr>
        <w:t>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مركز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ملي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پاسخگويي،</w:t>
      </w:r>
      <w:r w:rsidR="00460352">
        <w:rPr>
          <w:rtl/>
        </w:rPr>
        <w:t xml:space="preserve"> </w:t>
      </w:r>
      <w:r>
        <w:rPr>
          <w:rFonts w:hint="cs"/>
          <w:rtl/>
        </w:rPr>
        <w:t>همتا</w:t>
      </w:r>
      <w:r w:rsidR="00460352">
        <w:rPr>
          <w:rFonts w:hint="cs"/>
          <w:rtl/>
        </w:rPr>
        <w:t>،</w:t>
      </w:r>
      <w:r>
        <w:rPr>
          <w:rFonts w:hint="cs"/>
          <w:rtl/>
        </w:rPr>
        <w:t xml:space="preserve"> معنا،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آزمايشگاه</w:t>
      </w:r>
      <w:r>
        <w:rPr>
          <w:rFonts w:hint="cs"/>
          <w:rtl/>
        </w:rPr>
        <w:t xml:space="preserve"> هوش مصنوعي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دانشگاه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قم،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مشهد،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آي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شيعه</w:t>
      </w:r>
      <w:r>
        <w:rPr>
          <w:rFonts w:hint="cs"/>
          <w:rtl/>
        </w:rPr>
        <w:t xml:space="preserve"> و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ايتا</w:t>
      </w:r>
    </w:p>
    <w:p w14:paraId="01EDCD5D" w14:textId="77777777" w:rsidR="000C77A9" w:rsidRDefault="00460352" w:rsidP="00460352">
      <w:pPr>
        <w:pStyle w:val="Heading1"/>
        <w:rPr>
          <w:rtl/>
        </w:rPr>
      </w:pP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6"/>
        <w:gridCol w:w="2955"/>
        <w:gridCol w:w="3682"/>
        <w:gridCol w:w="2547"/>
      </w:tblGrid>
      <w:tr w:rsidR="00C074C5" w14:paraId="17D235B0" w14:textId="77777777" w:rsidTr="00C074C5">
        <w:tc>
          <w:tcPr>
            <w:tcW w:w="726" w:type="dxa"/>
            <w:vAlign w:val="center"/>
          </w:tcPr>
          <w:p w14:paraId="1AEC2CAC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رديف</w:t>
            </w:r>
          </w:p>
        </w:tc>
        <w:tc>
          <w:tcPr>
            <w:tcW w:w="6637" w:type="dxa"/>
            <w:gridSpan w:val="2"/>
            <w:vAlign w:val="center"/>
          </w:tcPr>
          <w:p w14:paraId="717A8BB0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هزينه</w:t>
            </w:r>
          </w:p>
        </w:tc>
        <w:tc>
          <w:tcPr>
            <w:tcW w:w="2547" w:type="dxa"/>
            <w:vAlign w:val="center"/>
          </w:tcPr>
          <w:p w14:paraId="054DE18B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مبلغ هزينه (ميليون ريال)</w:t>
            </w:r>
          </w:p>
        </w:tc>
      </w:tr>
      <w:tr w:rsidR="00C074C5" w14:paraId="58360D94" w14:textId="77777777" w:rsidTr="00C074C5">
        <w:tc>
          <w:tcPr>
            <w:tcW w:w="726" w:type="dxa"/>
            <w:vAlign w:val="center"/>
          </w:tcPr>
          <w:p w14:paraId="76627082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637" w:type="dxa"/>
            <w:gridSpan w:val="2"/>
            <w:vAlign w:val="center"/>
          </w:tcPr>
          <w:p w14:paraId="398327AF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ارتباط با نهادها، معرفي نمايشگاه و دعوت</w:t>
            </w:r>
          </w:p>
        </w:tc>
        <w:tc>
          <w:tcPr>
            <w:tcW w:w="2547" w:type="dxa"/>
            <w:vAlign w:val="center"/>
          </w:tcPr>
          <w:p w14:paraId="7796332C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C074C5" w14:paraId="536A612C" w14:textId="77777777" w:rsidTr="00C074C5">
        <w:tc>
          <w:tcPr>
            <w:tcW w:w="726" w:type="dxa"/>
            <w:vAlign w:val="center"/>
          </w:tcPr>
          <w:p w14:paraId="2CB3C481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637" w:type="dxa"/>
            <w:gridSpan w:val="2"/>
            <w:vAlign w:val="center"/>
          </w:tcPr>
          <w:p w14:paraId="07864542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تهيه پوسترها، بروشورها، بنرها و آگهي‌هاي پيش‌نمايشگاه</w:t>
            </w:r>
          </w:p>
        </w:tc>
        <w:tc>
          <w:tcPr>
            <w:tcW w:w="2547" w:type="dxa"/>
            <w:vAlign w:val="center"/>
          </w:tcPr>
          <w:p w14:paraId="451BB7E3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300</w:t>
            </w:r>
          </w:p>
        </w:tc>
      </w:tr>
      <w:tr w:rsidR="00C074C5" w14:paraId="5CCDEF1F" w14:textId="77777777" w:rsidTr="00C074C5">
        <w:tc>
          <w:tcPr>
            <w:tcW w:w="726" w:type="dxa"/>
            <w:vAlign w:val="center"/>
          </w:tcPr>
          <w:p w14:paraId="331EA96E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637" w:type="dxa"/>
            <w:gridSpan w:val="2"/>
            <w:vAlign w:val="center"/>
          </w:tcPr>
          <w:p w14:paraId="3A56AFA3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آماده‌سازي فضاي نمايشگاهي</w:t>
            </w:r>
          </w:p>
        </w:tc>
        <w:tc>
          <w:tcPr>
            <w:tcW w:w="2547" w:type="dxa"/>
            <w:vAlign w:val="center"/>
          </w:tcPr>
          <w:p w14:paraId="2A9CCF6A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500</w:t>
            </w:r>
          </w:p>
        </w:tc>
      </w:tr>
      <w:tr w:rsidR="00C074C5" w14:paraId="1B7EFF41" w14:textId="77777777" w:rsidTr="00C074C5">
        <w:tc>
          <w:tcPr>
            <w:tcW w:w="726" w:type="dxa"/>
            <w:vAlign w:val="center"/>
          </w:tcPr>
          <w:p w14:paraId="635B5B64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637" w:type="dxa"/>
            <w:gridSpan w:val="2"/>
            <w:vAlign w:val="center"/>
          </w:tcPr>
          <w:p w14:paraId="42CDF115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تهيه و نصب بنرها و پوسترهاي برگزاري نمايشگاه</w:t>
            </w:r>
          </w:p>
        </w:tc>
        <w:tc>
          <w:tcPr>
            <w:tcW w:w="2547" w:type="dxa"/>
            <w:vAlign w:val="center"/>
          </w:tcPr>
          <w:p w14:paraId="71A67FBA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300</w:t>
            </w:r>
          </w:p>
        </w:tc>
      </w:tr>
      <w:tr w:rsidR="00C074C5" w14:paraId="416171BF" w14:textId="77777777" w:rsidTr="00C074C5">
        <w:tc>
          <w:tcPr>
            <w:tcW w:w="726" w:type="dxa"/>
            <w:vAlign w:val="center"/>
          </w:tcPr>
          <w:p w14:paraId="72131DAD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637" w:type="dxa"/>
            <w:gridSpan w:val="2"/>
            <w:vAlign w:val="center"/>
          </w:tcPr>
          <w:p w14:paraId="62667779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فعاليت‌هاي خبري، فيلم‌برداري، تصويربرداري و تهيه گزارش</w:t>
            </w:r>
          </w:p>
        </w:tc>
        <w:tc>
          <w:tcPr>
            <w:tcW w:w="2547" w:type="dxa"/>
            <w:vAlign w:val="center"/>
          </w:tcPr>
          <w:p w14:paraId="10024017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700</w:t>
            </w:r>
          </w:p>
        </w:tc>
      </w:tr>
      <w:tr w:rsidR="00C074C5" w14:paraId="6BD6E843" w14:textId="77777777" w:rsidTr="00C074C5">
        <w:tc>
          <w:tcPr>
            <w:tcW w:w="726" w:type="dxa"/>
            <w:vAlign w:val="center"/>
          </w:tcPr>
          <w:p w14:paraId="5255797D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637" w:type="dxa"/>
            <w:gridSpan w:val="2"/>
            <w:vAlign w:val="center"/>
          </w:tcPr>
          <w:p w14:paraId="342286BB" w14:textId="77777777" w:rsidR="00C074C5" w:rsidRDefault="00C074C5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ارتباط با مراكز خبري، رسانه‌اي و پخش آگهي از صداوسيما</w:t>
            </w:r>
          </w:p>
        </w:tc>
        <w:tc>
          <w:tcPr>
            <w:tcW w:w="2547" w:type="dxa"/>
            <w:vAlign w:val="center"/>
          </w:tcPr>
          <w:p w14:paraId="2B977100" w14:textId="77777777" w:rsidR="00C074C5" w:rsidRDefault="00C074C5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</w:tr>
      <w:tr w:rsidR="006C0FF8" w14:paraId="7C3DAB20" w14:textId="77777777" w:rsidTr="00C074C5">
        <w:tc>
          <w:tcPr>
            <w:tcW w:w="726" w:type="dxa"/>
            <w:vAlign w:val="center"/>
          </w:tcPr>
          <w:p w14:paraId="2E993552" w14:textId="77777777" w:rsidR="006C0FF8" w:rsidRDefault="006C0FF8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637" w:type="dxa"/>
            <w:gridSpan w:val="2"/>
            <w:vAlign w:val="center"/>
          </w:tcPr>
          <w:p w14:paraId="469F62AE" w14:textId="77777777" w:rsidR="006C0FF8" w:rsidRDefault="006C0FF8" w:rsidP="00C074C5">
            <w:pPr>
              <w:spacing w:after="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داوري، تأمين جوايز و توليد لوح يادبود</w:t>
            </w:r>
          </w:p>
        </w:tc>
        <w:tc>
          <w:tcPr>
            <w:tcW w:w="2547" w:type="dxa"/>
            <w:vAlign w:val="center"/>
          </w:tcPr>
          <w:p w14:paraId="6B998985" w14:textId="77777777" w:rsidR="006C0FF8" w:rsidRDefault="006C0FF8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</w:tr>
      <w:tr w:rsidR="00C074C5" w14:paraId="1842E20C" w14:textId="77777777" w:rsidTr="00C074C5">
        <w:tc>
          <w:tcPr>
            <w:tcW w:w="3681" w:type="dxa"/>
            <w:gridSpan w:val="2"/>
            <w:vAlign w:val="center"/>
          </w:tcPr>
          <w:p w14:paraId="64DAD58C" w14:textId="77777777" w:rsidR="00C074C5" w:rsidRDefault="00C074C5" w:rsidP="00C074C5">
            <w:pPr>
              <w:spacing w:after="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جمع كل هزينه‌ها </w:t>
            </w:r>
          </w:p>
        </w:tc>
        <w:tc>
          <w:tcPr>
            <w:tcW w:w="3682" w:type="dxa"/>
            <w:vAlign w:val="center"/>
          </w:tcPr>
          <w:p w14:paraId="3A3F3D7E" w14:textId="77777777" w:rsidR="00C074C5" w:rsidRDefault="006C0FF8" w:rsidP="00C074C5">
            <w:pPr>
              <w:spacing w:after="0"/>
              <w:ind w:firstLine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سيصد</w:t>
            </w:r>
            <w:r w:rsidR="00C074C5">
              <w:rPr>
                <w:rFonts w:hint="cs"/>
                <w:b/>
                <w:bCs/>
                <w:rtl/>
              </w:rPr>
              <w:t xml:space="preserve"> و هشتاد و پنج ميليون تومان</w:t>
            </w:r>
          </w:p>
        </w:tc>
        <w:tc>
          <w:tcPr>
            <w:tcW w:w="2547" w:type="dxa"/>
            <w:vAlign w:val="center"/>
          </w:tcPr>
          <w:p w14:paraId="2726D840" w14:textId="77777777" w:rsidR="00C074C5" w:rsidRPr="00C074C5" w:rsidRDefault="00C074C5" w:rsidP="00C074C5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  <w:r w:rsidRPr="00C074C5">
              <w:rPr>
                <w:b/>
                <w:bCs/>
                <w:rtl/>
              </w:rPr>
              <w:fldChar w:fldCharType="begin"/>
            </w:r>
            <w:r w:rsidRPr="00C074C5">
              <w:rPr>
                <w:b/>
                <w:bCs/>
                <w:rtl/>
              </w:rPr>
              <w:instrText xml:space="preserve"> </w:instrText>
            </w:r>
            <w:r w:rsidRPr="00C074C5">
              <w:rPr>
                <w:rFonts w:hint="cs"/>
                <w:b/>
                <w:bCs/>
                <w:rtl/>
              </w:rPr>
              <w:instrText>=</w:instrText>
            </w:r>
            <w:r w:rsidRPr="00C074C5">
              <w:rPr>
                <w:rFonts w:hint="cs"/>
                <w:b/>
                <w:bCs/>
              </w:rPr>
              <w:instrText>SUM(ABOVE</w:instrText>
            </w:r>
            <w:r w:rsidRPr="00C074C5">
              <w:rPr>
                <w:rFonts w:hint="cs"/>
                <w:b/>
                <w:bCs/>
                <w:rtl/>
              </w:rPr>
              <w:instrText>)</w:instrText>
            </w:r>
            <w:r w:rsidRPr="00C074C5">
              <w:rPr>
                <w:b/>
                <w:bCs/>
                <w:rtl/>
              </w:rPr>
              <w:instrText xml:space="preserve"> </w:instrText>
            </w:r>
            <w:r w:rsidRPr="00C074C5">
              <w:rPr>
                <w:b/>
                <w:bCs/>
                <w:rtl/>
              </w:rPr>
              <w:fldChar w:fldCharType="separate"/>
            </w:r>
            <w:r w:rsidR="006C0FF8">
              <w:rPr>
                <w:rFonts w:hint="cs"/>
                <w:b/>
                <w:bCs/>
                <w:noProof/>
                <w:rtl/>
              </w:rPr>
              <w:t>3</w:t>
            </w:r>
            <w:r w:rsidRPr="00C074C5">
              <w:rPr>
                <w:b/>
                <w:bCs/>
                <w:noProof/>
                <w:rtl/>
              </w:rPr>
              <w:t>850</w:t>
            </w:r>
            <w:r w:rsidRPr="00C074C5">
              <w:rPr>
                <w:b/>
                <w:bCs/>
                <w:rtl/>
              </w:rPr>
              <w:fldChar w:fldCharType="end"/>
            </w:r>
          </w:p>
        </w:tc>
      </w:tr>
    </w:tbl>
    <w:p w14:paraId="58E6B52F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مدعوين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</w:p>
    <w:p w14:paraId="25C1A936" w14:textId="77777777" w:rsidR="00E43CE1" w:rsidRDefault="00E43CE1" w:rsidP="00E43CE1">
      <w:pPr>
        <w:pStyle w:val="ListParagraph"/>
        <w:numPr>
          <w:ilvl w:val="0"/>
          <w:numId w:val="43"/>
        </w:numPr>
        <w:ind w:left="850"/>
      </w:pPr>
      <w:r>
        <w:rPr>
          <w:rFonts w:hint="cs"/>
          <w:rtl/>
        </w:rPr>
        <w:t>مديران و معاونان دفتر رهبري در قم و تهران</w:t>
      </w:r>
    </w:p>
    <w:p w14:paraId="11854DFE" w14:textId="77777777" w:rsidR="000C77A9" w:rsidRDefault="00E43CE1" w:rsidP="00E43CE1">
      <w:pPr>
        <w:pStyle w:val="ListParagraph"/>
        <w:numPr>
          <w:ilvl w:val="0"/>
          <w:numId w:val="43"/>
        </w:numPr>
        <w:ind w:left="850"/>
      </w:pPr>
      <w:r>
        <w:rPr>
          <w:rFonts w:hint="cs"/>
          <w:rtl/>
        </w:rPr>
        <w:t xml:space="preserve">اعضاي </w:t>
      </w:r>
      <w:r w:rsidR="00460352">
        <w:rPr>
          <w:rFonts w:hint="cs"/>
          <w:rtl/>
        </w:rPr>
        <w:t>شوراي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عالي</w:t>
      </w:r>
      <w:r>
        <w:rPr>
          <w:rFonts w:hint="cs"/>
          <w:rtl/>
        </w:rPr>
        <w:t xml:space="preserve"> مديريت حوزه</w:t>
      </w:r>
    </w:p>
    <w:p w14:paraId="420DC6CA" w14:textId="77777777" w:rsidR="00E43CE1" w:rsidRDefault="00E43CE1" w:rsidP="00E43CE1">
      <w:pPr>
        <w:pStyle w:val="ListParagraph"/>
        <w:numPr>
          <w:ilvl w:val="0"/>
          <w:numId w:val="43"/>
        </w:numPr>
        <w:ind w:left="850"/>
      </w:pPr>
      <w:r>
        <w:rPr>
          <w:rFonts w:hint="cs"/>
          <w:rtl/>
        </w:rPr>
        <w:t>نمايندگان بيوت و دفاتر مراجع عظام تقليد</w:t>
      </w:r>
    </w:p>
    <w:p w14:paraId="25901218" w14:textId="77777777" w:rsidR="00E43CE1" w:rsidRDefault="00E43CE1" w:rsidP="00E43CE1">
      <w:pPr>
        <w:pStyle w:val="ListParagraph"/>
        <w:numPr>
          <w:ilvl w:val="0"/>
          <w:numId w:val="43"/>
        </w:numPr>
        <w:ind w:left="850"/>
        <w:rPr>
          <w:rtl/>
        </w:rPr>
      </w:pPr>
      <w:r>
        <w:rPr>
          <w:rFonts w:hint="cs"/>
          <w:rtl/>
        </w:rPr>
        <w:t>ائمه جمعه و نمايندگان ولي‌فقيه در مراكز استان‌ها</w:t>
      </w:r>
    </w:p>
    <w:p w14:paraId="2312ECFA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بازديدكنندگان</w:t>
      </w:r>
    </w:p>
    <w:p w14:paraId="2819E686" w14:textId="77777777" w:rsidR="00460352" w:rsidRDefault="00AE2AE5" w:rsidP="00AE2AE5">
      <w:pPr>
        <w:pStyle w:val="ListParagraph"/>
        <w:numPr>
          <w:ilvl w:val="0"/>
          <w:numId w:val="44"/>
        </w:numPr>
        <w:ind w:left="850"/>
      </w:pPr>
      <w:r>
        <w:rPr>
          <w:rFonts w:hint="cs"/>
          <w:rtl/>
        </w:rPr>
        <w:t>عموم اساتيد و فضلاي حوزه</w:t>
      </w:r>
    </w:p>
    <w:p w14:paraId="04AD62E6" w14:textId="77777777" w:rsidR="00AE2AE5" w:rsidRDefault="00AE2AE5" w:rsidP="00AE2AE5">
      <w:pPr>
        <w:pStyle w:val="ListParagraph"/>
        <w:numPr>
          <w:ilvl w:val="0"/>
          <w:numId w:val="44"/>
        </w:numPr>
        <w:ind w:left="850"/>
        <w:rPr>
          <w:rtl/>
        </w:rPr>
      </w:pPr>
      <w:r>
        <w:rPr>
          <w:rFonts w:hint="cs"/>
          <w:rtl/>
        </w:rPr>
        <w:t>طلاب و روحانيون</w:t>
      </w:r>
    </w:p>
    <w:p w14:paraId="0AB7B839" w14:textId="77777777" w:rsidR="000C77A9" w:rsidRDefault="00460352" w:rsidP="00460352">
      <w:pPr>
        <w:pStyle w:val="Heading1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</w:p>
    <w:p w14:paraId="45230BB1" w14:textId="77777777" w:rsidR="00F35B0F" w:rsidRPr="00F35B0F" w:rsidRDefault="00F35B0F" w:rsidP="00F35B0F">
      <w:pPr>
        <w:rPr>
          <w:rtl/>
        </w:rPr>
      </w:pPr>
      <w:r>
        <w:rPr>
          <w:rFonts w:hint="cs"/>
          <w:rtl/>
        </w:rPr>
        <w:t>ستاد راهبري هوش مصنوعي مسئوليت تدارك مقدمات و برگزاري نمايشگاه را بر عهده خواهد داشت.</w:t>
      </w:r>
    </w:p>
    <w:p w14:paraId="6C846CD9" w14:textId="77777777" w:rsidR="00460352" w:rsidRDefault="00460352" w:rsidP="00460352">
      <w:pPr>
        <w:pStyle w:val="Heading1"/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14:paraId="2F50C216" w14:textId="77777777" w:rsidR="00460352" w:rsidRDefault="00460352" w:rsidP="006B720C">
      <w:pPr>
        <w:pStyle w:val="ListParagraph"/>
        <w:numPr>
          <w:ilvl w:val="0"/>
          <w:numId w:val="45"/>
        </w:numPr>
        <w:ind w:left="850"/>
        <w:rPr>
          <w:rtl/>
        </w:rPr>
      </w:pPr>
      <w:r>
        <w:rPr>
          <w:rFonts w:hint="cs"/>
          <w:rtl/>
        </w:rPr>
        <w:t>تدوام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 w:rsidR="006B720C">
        <w:rPr>
          <w:rFonts w:hint="cs"/>
          <w:rtl/>
        </w:rPr>
        <w:t xml:space="preserve"> و برگزاري 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6B720C">
        <w:rPr>
          <w:rFonts w:hint="cs"/>
          <w:rtl/>
        </w:rPr>
        <w:t>، به نحوي كه تمامي مراكز و نهادها بتوانند دستاوردهاي هر سال خود را در عرصه هوش مصنوعي به اين نمايشگاه آورده و عرضه كنند.</w:t>
      </w:r>
      <w:r>
        <w:rPr>
          <w:rtl/>
        </w:rPr>
        <w:t xml:space="preserve"> </w:t>
      </w:r>
    </w:p>
    <w:p w14:paraId="48328635" w14:textId="77777777" w:rsidR="00460352" w:rsidRDefault="00460352" w:rsidP="006B720C">
      <w:pPr>
        <w:pStyle w:val="ListParagraph"/>
        <w:numPr>
          <w:ilvl w:val="0"/>
          <w:numId w:val="45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 w:rsidR="006B720C">
        <w:rPr>
          <w:rFonts w:hint="cs"/>
          <w:rtl/>
        </w:rPr>
        <w:t xml:space="preserve"> پيشرفت حوزه در عرصه هوش مصنوعي از طريق مقايسه دستاوردهاي نمايشگاه‌ها</w:t>
      </w:r>
    </w:p>
    <w:p w14:paraId="55536C47" w14:textId="77777777" w:rsidR="000C77A9" w:rsidRDefault="003E667E" w:rsidP="006B720C">
      <w:pPr>
        <w:pStyle w:val="ListParagraph"/>
        <w:numPr>
          <w:ilvl w:val="0"/>
          <w:numId w:val="45"/>
        </w:numPr>
        <w:ind w:left="850"/>
      </w:pPr>
      <w:r>
        <w:rPr>
          <w:rFonts w:hint="cs"/>
          <w:rtl/>
        </w:rPr>
        <w:t xml:space="preserve">داوري آثار و ارائه </w:t>
      </w:r>
      <w:r w:rsidR="00460352">
        <w:rPr>
          <w:rFonts w:hint="cs"/>
          <w:rtl/>
        </w:rPr>
        <w:t>جايزه</w:t>
      </w:r>
      <w:r w:rsidR="00460352">
        <w:rPr>
          <w:rtl/>
        </w:rPr>
        <w:t xml:space="preserve"> </w:t>
      </w:r>
      <w:r w:rsidR="00460352">
        <w:rPr>
          <w:rFonts w:hint="cs"/>
          <w:rtl/>
        </w:rPr>
        <w:t>سالانه</w:t>
      </w:r>
      <w:r>
        <w:rPr>
          <w:rFonts w:hint="cs"/>
          <w:rtl/>
        </w:rPr>
        <w:t xml:space="preserve"> به غرفه‌هاي برتر در جهت تشويق و ترغيب مراكز به ارتقاي فعاليت</w:t>
      </w:r>
    </w:p>
    <w:p w14:paraId="7C6DD580" w14:textId="77777777" w:rsidR="003E667E" w:rsidRPr="0057253E" w:rsidRDefault="003E667E" w:rsidP="00302CE8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1CA49D6B" w14:textId="77777777" w:rsidR="003E667E" w:rsidRDefault="003E667E" w:rsidP="003E667E">
      <w:pPr>
        <w:rPr>
          <w:rtl/>
        </w:rPr>
      </w:pPr>
    </w:p>
    <w:p w14:paraId="7237C68B" w14:textId="77777777" w:rsidR="003E667E" w:rsidRDefault="003E667E" w:rsidP="003E667E">
      <w:pPr>
        <w:rPr>
          <w:rtl/>
        </w:rPr>
      </w:pPr>
    </w:p>
    <w:p w14:paraId="60C8B6EF" w14:textId="77777777" w:rsidR="000C77A9" w:rsidRDefault="000C77A9" w:rsidP="00E22C0E">
      <w:pPr>
        <w:rPr>
          <w:rtl/>
        </w:rPr>
      </w:pPr>
    </w:p>
    <w:p w14:paraId="0F1ED328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18E98" w14:textId="77777777" w:rsidR="00493FEA" w:rsidRDefault="00493FEA" w:rsidP="00024D73">
      <w:pPr>
        <w:spacing w:after="0" w:line="240" w:lineRule="auto"/>
      </w:pPr>
      <w:r>
        <w:separator/>
      </w:r>
    </w:p>
  </w:endnote>
  <w:endnote w:type="continuationSeparator" w:id="0">
    <w:p w14:paraId="6DB939F1" w14:textId="77777777" w:rsidR="00493FEA" w:rsidRDefault="00493FE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3D40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785DE5FD" wp14:editId="454D1FD5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D0B9" w14:textId="7CDEF5F4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43C7A">
      <w:rPr>
        <w:rFonts w:ascii="Tunga" w:hAnsi="Tunga" w:cs="Tunga"/>
        <w:noProof/>
        <w:sz w:val="16"/>
        <w:szCs w:val="16"/>
      </w:rPr>
      <w:t>Trh-Brgzary-Nmayshgah-Movashah-Works.Docx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8186" w14:textId="77777777" w:rsidR="00493FEA" w:rsidRDefault="00493FE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7C5884E" w14:textId="77777777" w:rsidR="00493FEA" w:rsidRDefault="00493FE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8CFF" w14:textId="5DF4CE3A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CB1136" wp14:editId="1B600E80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26683F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177A30C6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45ADE762" w14:textId="77777777" w:rsidR="00D42D03" w:rsidRDefault="00493FEA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5EEB5F0771474B608FA121448541CD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54046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مهر 1403</w:t>
                              </w:r>
                            </w:sdtContent>
                          </w:sdt>
                        </w:p>
                        <w:p w14:paraId="3B927112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7C088A8A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B1136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7726683F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177A30C6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45ADE762" w14:textId="77777777" w:rsidR="00D42D03" w:rsidRDefault="00E47E5E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5EEB5F0771474B608FA121448541CD9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C54046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مهر 1403</w:t>
                        </w:r>
                      </w:sdtContent>
                    </w:sdt>
                  </w:p>
                  <w:p w14:paraId="3B927112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7C088A8A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C7BB866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4EC980B2" wp14:editId="235B0DA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45C7D36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EF57B91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85F0FC6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E8A7716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6D555A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54383964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6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7AB66699"/>
    <w:multiLevelType w:val="multilevel"/>
    <w:tmpl w:val="40C42DEC"/>
    <w:numStyleLink w:val="a"/>
  </w:abstractNum>
  <w:abstractNum w:abstractNumId="43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7D34196F"/>
    <w:multiLevelType w:val="multilevel"/>
    <w:tmpl w:val="3F562192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5"/>
  </w:num>
  <w:num w:numId="5">
    <w:abstractNumId w:val="22"/>
  </w:num>
  <w:num w:numId="6">
    <w:abstractNumId w:val="19"/>
  </w:num>
  <w:num w:numId="7">
    <w:abstractNumId w:val="28"/>
  </w:num>
  <w:num w:numId="8">
    <w:abstractNumId w:val="16"/>
  </w:num>
  <w:num w:numId="9">
    <w:abstractNumId w:val="43"/>
  </w:num>
  <w:num w:numId="10">
    <w:abstractNumId w:val="0"/>
  </w:num>
  <w:num w:numId="11">
    <w:abstractNumId w:val="33"/>
  </w:num>
  <w:num w:numId="12">
    <w:abstractNumId w:val="10"/>
  </w:num>
  <w:num w:numId="13">
    <w:abstractNumId w:val="18"/>
  </w:num>
  <w:num w:numId="14">
    <w:abstractNumId w:val="41"/>
  </w:num>
  <w:num w:numId="15">
    <w:abstractNumId w:val="9"/>
  </w:num>
  <w:num w:numId="16">
    <w:abstractNumId w:val="15"/>
  </w:num>
  <w:num w:numId="17">
    <w:abstractNumId w:val="35"/>
  </w:num>
  <w:num w:numId="18">
    <w:abstractNumId w:val="7"/>
  </w:num>
  <w:num w:numId="19">
    <w:abstractNumId w:val="23"/>
  </w:num>
  <w:num w:numId="20">
    <w:abstractNumId w:val="2"/>
  </w:num>
  <w:num w:numId="21">
    <w:abstractNumId w:val="38"/>
  </w:num>
  <w:num w:numId="22">
    <w:abstractNumId w:val="25"/>
  </w:num>
  <w:num w:numId="23">
    <w:abstractNumId w:val="13"/>
  </w:num>
  <w:num w:numId="24">
    <w:abstractNumId w:val="34"/>
  </w:num>
  <w:num w:numId="25">
    <w:abstractNumId w:val="24"/>
  </w:num>
  <w:num w:numId="26">
    <w:abstractNumId w:val="12"/>
  </w:num>
  <w:num w:numId="27">
    <w:abstractNumId w:val="31"/>
  </w:num>
  <w:num w:numId="28">
    <w:abstractNumId w:val="42"/>
  </w:num>
  <w:num w:numId="29">
    <w:abstractNumId w:val="27"/>
  </w:num>
  <w:num w:numId="30">
    <w:abstractNumId w:val="36"/>
  </w:num>
  <w:num w:numId="31">
    <w:abstractNumId w:val="29"/>
  </w:num>
  <w:num w:numId="32">
    <w:abstractNumId w:val="26"/>
  </w:num>
  <w:num w:numId="33">
    <w:abstractNumId w:val="39"/>
  </w:num>
  <w:num w:numId="34">
    <w:abstractNumId w:val="4"/>
  </w:num>
  <w:num w:numId="35">
    <w:abstractNumId w:val="37"/>
  </w:num>
  <w:num w:numId="36">
    <w:abstractNumId w:val="17"/>
  </w:num>
  <w:num w:numId="37">
    <w:abstractNumId w:val="40"/>
  </w:num>
  <w:num w:numId="38">
    <w:abstractNumId w:val="11"/>
  </w:num>
  <w:num w:numId="39">
    <w:abstractNumId w:val="14"/>
  </w:num>
  <w:num w:numId="40">
    <w:abstractNumId w:val="44"/>
  </w:num>
  <w:num w:numId="41">
    <w:abstractNumId w:val="30"/>
  </w:num>
  <w:num w:numId="42">
    <w:abstractNumId w:val="6"/>
  </w:num>
  <w:num w:numId="43">
    <w:abstractNumId w:val="21"/>
  </w:num>
  <w:num w:numId="44">
    <w:abstractNumId w:val="32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4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43C7A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72D"/>
    <w:rsid w:val="000B6E36"/>
    <w:rsid w:val="000C77A9"/>
    <w:rsid w:val="000E42A6"/>
    <w:rsid w:val="000F3777"/>
    <w:rsid w:val="000F429F"/>
    <w:rsid w:val="00101DF4"/>
    <w:rsid w:val="0010570E"/>
    <w:rsid w:val="001111ED"/>
    <w:rsid w:val="001115A8"/>
    <w:rsid w:val="0011280B"/>
    <w:rsid w:val="00117329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97248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E667E"/>
    <w:rsid w:val="003F2473"/>
    <w:rsid w:val="003F611D"/>
    <w:rsid w:val="00402249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60352"/>
    <w:rsid w:val="00470570"/>
    <w:rsid w:val="00476DCD"/>
    <w:rsid w:val="00486184"/>
    <w:rsid w:val="00490568"/>
    <w:rsid w:val="00493FEA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4F69F1"/>
    <w:rsid w:val="005043F6"/>
    <w:rsid w:val="0050677D"/>
    <w:rsid w:val="00510056"/>
    <w:rsid w:val="005103C4"/>
    <w:rsid w:val="005132B6"/>
    <w:rsid w:val="005263F0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E7C7A"/>
    <w:rsid w:val="005F311B"/>
    <w:rsid w:val="005F3446"/>
    <w:rsid w:val="005F3511"/>
    <w:rsid w:val="005F37AA"/>
    <w:rsid w:val="00601DB9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46E11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720C"/>
    <w:rsid w:val="006C0FF8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6419E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11B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2AE5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074C5"/>
    <w:rsid w:val="00C1486E"/>
    <w:rsid w:val="00C16925"/>
    <w:rsid w:val="00C17F90"/>
    <w:rsid w:val="00C24C26"/>
    <w:rsid w:val="00C43061"/>
    <w:rsid w:val="00C43C84"/>
    <w:rsid w:val="00C4646D"/>
    <w:rsid w:val="00C51B05"/>
    <w:rsid w:val="00C54046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C1D1A"/>
    <w:rsid w:val="00DC32A6"/>
    <w:rsid w:val="00DC4E14"/>
    <w:rsid w:val="00DD5FE7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43CE1"/>
    <w:rsid w:val="00E47E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4AC1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5B0F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BDAB3"/>
  <w15:docId w15:val="{3951CF19-9A80-4E3B-97C0-DBB7CB59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5F0771474B608FA121448541C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304E-809C-4AD9-883D-B57B8B7F06C8}"/>
      </w:docPartPr>
      <w:docPartBody>
        <w:p w:rsidR="0004529C" w:rsidRDefault="00FF4197">
          <w:pPr>
            <w:pStyle w:val="5EEB5F0771474B608FA121448541CD93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97"/>
    <w:rsid w:val="0004529C"/>
    <w:rsid w:val="00F41359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EB5F0771474B608FA121448541CD93">
    <w:name w:val="5EEB5F0771474B608FA121448541CD9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B74B-E743-45F9-9211-B274D0FD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64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وضعيت</vt:lpstr>
      <vt:lpstr>    وضعيت گذشته</vt:lpstr>
    </vt:vector>
  </TitlesOfParts>
  <Company>Personal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مهر 1403</dc:subject>
  <dc:creator>Tent</dc:creator>
  <cp:keywords/>
  <cp:lastModifiedBy>Tent</cp:lastModifiedBy>
  <cp:revision>30</cp:revision>
  <cp:lastPrinted>2025-08-13T03:39:00Z</cp:lastPrinted>
  <dcterms:created xsi:type="dcterms:W3CDTF">2024-10-18T22:52:00Z</dcterms:created>
  <dcterms:modified xsi:type="dcterms:W3CDTF">2025-08-13T03:39:00Z</dcterms:modified>
</cp:coreProperties>
</file>